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8024A">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lang w:val="en-US" w:eastAsia="zh-CN"/>
        </w:rPr>
      </w:pPr>
      <w:r>
        <w:rPr>
          <w:rFonts w:hint="eastAsia"/>
          <w:lang w:val="en-US" w:eastAsia="zh-CN"/>
        </w:rPr>
        <w:t>附件2</w:t>
      </w:r>
    </w:p>
    <w:p w14:paraId="65D42E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lang w:val="en-US" w:eastAsia="zh-CN"/>
        </w:rPr>
      </w:pPr>
      <w:bookmarkStart w:id="0" w:name="_GoBack"/>
      <w:r>
        <w:rPr>
          <w:rFonts w:hint="eastAsia" w:ascii="方正小标宋简体" w:hAnsi="方正小标宋简体" w:eastAsia="方正小标宋简体" w:cs="方正小标宋简体"/>
          <w:lang w:val="en-US" w:eastAsia="zh-CN"/>
        </w:rPr>
        <w:t>运营管理岗专员岗位说明书</w:t>
      </w:r>
    </w:p>
    <w:bookmarkEnd w:id="0"/>
    <w:tbl>
      <w:tblPr>
        <w:tblStyle w:val="3"/>
        <w:tblW w:w="5570" w:type="pct"/>
        <w:tblInd w:w="-45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025"/>
        <w:gridCol w:w="3454"/>
        <w:gridCol w:w="1428"/>
        <w:gridCol w:w="2928"/>
        <w:gridCol w:w="12"/>
      </w:tblGrid>
      <w:tr w14:paraId="0C1316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shd w:val="clear" w:color="auto" w:fill="D8D8D8"/>
            <w:noWrap w:val="0"/>
            <w:vAlign w:val="center"/>
          </w:tcPr>
          <w:p w14:paraId="3EC719F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一、岗位信息</w:t>
            </w:r>
          </w:p>
        </w:tc>
      </w:tr>
      <w:tr w14:paraId="323F0F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pct"/>
            <w:gridSpan w:val="2"/>
            <w:noWrap w:val="0"/>
            <w:vAlign w:val="center"/>
          </w:tcPr>
          <w:p w14:paraId="682840A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部门名称</w:t>
            </w:r>
          </w:p>
        </w:tc>
        <w:tc>
          <w:tcPr>
            <w:tcW w:w="1819" w:type="pct"/>
            <w:noWrap w:val="0"/>
            <w:vAlign w:val="center"/>
          </w:tcPr>
          <w:p w14:paraId="163095AD">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运营管理部（董监事办公室）</w:t>
            </w:r>
          </w:p>
        </w:tc>
        <w:tc>
          <w:tcPr>
            <w:tcW w:w="752" w:type="pct"/>
            <w:noWrap w:val="0"/>
            <w:vAlign w:val="center"/>
          </w:tcPr>
          <w:p w14:paraId="0CF80DC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二级机构</w:t>
            </w:r>
          </w:p>
        </w:tc>
        <w:tc>
          <w:tcPr>
            <w:tcW w:w="1545" w:type="pct"/>
            <w:gridSpan w:val="2"/>
            <w:noWrap w:val="0"/>
            <w:vAlign w:val="center"/>
          </w:tcPr>
          <w:p w14:paraId="04C3E242">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rPr>
            </w:pPr>
          </w:p>
        </w:tc>
      </w:tr>
      <w:tr w14:paraId="39B028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pct"/>
            <w:gridSpan w:val="2"/>
            <w:noWrap w:val="0"/>
            <w:vAlign w:val="center"/>
          </w:tcPr>
          <w:p w14:paraId="30E5EC0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岗位名称</w:t>
            </w:r>
          </w:p>
        </w:tc>
        <w:tc>
          <w:tcPr>
            <w:tcW w:w="1819" w:type="pct"/>
            <w:noWrap w:val="0"/>
            <w:vAlign w:val="center"/>
          </w:tcPr>
          <w:p w14:paraId="566B3B14">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运营</w:t>
            </w:r>
            <w:r>
              <w:rPr>
                <w:rFonts w:hint="eastAsia" w:ascii="仿宋_GB2312" w:hAnsi="仿宋_GB2312" w:eastAsia="仿宋_GB2312" w:cs="仿宋_GB2312"/>
                <w:color w:val="auto"/>
                <w:sz w:val="21"/>
                <w:szCs w:val="21"/>
              </w:rPr>
              <w:t>管理岗</w:t>
            </w:r>
            <w:r>
              <w:rPr>
                <w:rFonts w:hint="eastAsia" w:ascii="仿宋_GB2312" w:hAnsi="仿宋_GB2312" w:eastAsia="仿宋_GB2312" w:cs="仿宋_GB2312"/>
                <w:color w:val="auto"/>
                <w:sz w:val="21"/>
                <w:szCs w:val="21"/>
                <w:lang w:val="en-US" w:eastAsia="zh-CN"/>
              </w:rPr>
              <w:t>专员</w:t>
            </w:r>
          </w:p>
        </w:tc>
        <w:tc>
          <w:tcPr>
            <w:tcW w:w="752" w:type="pct"/>
            <w:noWrap w:val="0"/>
            <w:vAlign w:val="center"/>
          </w:tcPr>
          <w:p w14:paraId="46C5500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岗位序列</w:t>
            </w:r>
          </w:p>
        </w:tc>
        <w:tc>
          <w:tcPr>
            <w:tcW w:w="1545" w:type="pct"/>
            <w:gridSpan w:val="2"/>
            <w:noWrap w:val="0"/>
            <w:vAlign w:val="center"/>
          </w:tcPr>
          <w:p w14:paraId="5AE900C9">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专业序列</w:t>
            </w:r>
          </w:p>
        </w:tc>
      </w:tr>
      <w:tr w14:paraId="6E6ACC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shd w:val="clear" w:color="auto" w:fill="D8D8D8"/>
            <w:noWrap w:val="0"/>
            <w:vAlign w:val="center"/>
          </w:tcPr>
          <w:p w14:paraId="6ABC123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二、岗位职责</w:t>
            </w:r>
          </w:p>
        </w:tc>
      </w:tr>
      <w:tr w14:paraId="3440D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1" w:type="pct"/>
            <w:noWrap w:val="0"/>
            <w:vAlign w:val="center"/>
          </w:tcPr>
          <w:p w14:paraId="36BB2AF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序号</w:t>
            </w:r>
          </w:p>
        </w:tc>
        <w:tc>
          <w:tcPr>
            <w:tcW w:w="539" w:type="pct"/>
            <w:noWrap w:val="0"/>
            <w:vAlign w:val="center"/>
          </w:tcPr>
          <w:p w14:paraId="34D0900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职能模块</w:t>
            </w:r>
          </w:p>
        </w:tc>
        <w:tc>
          <w:tcPr>
            <w:tcW w:w="4118" w:type="pct"/>
            <w:gridSpan w:val="4"/>
            <w:noWrap w:val="0"/>
            <w:vAlign w:val="center"/>
          </w:tcPr>
          <w:p w14:paraId="31566F7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主要职责</w:t>
            </w:r>
          </w:p>
        </w:tc>
      </w:tr>
      <w:tr w14:paraId="4EA683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341" w:type="pct"/>
            <w:noWrap w:val="0"/>
            <w:vAlign w:val="center"/>
          </w:tcPr>
          <w:p w14:paraId="64698BB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539" w:type="pct"/>
            <w:noWrap w:val="0"/>
            <w:vAlign w:val="center"/>
          </w:tcPr>
          <w:p w14:paraId="0973991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经营监控</w:t>
            </w:r>
          </w:p>
        </w:tc>
        <w:tc>
          <w:tcPr>
            <w:tcW w:w="4118" w:type="pct"/>
            <w:gridSpan w:val="4"/>
            <w:noWrap w:val="0"/>
            <w:vAlign w:val="center"/>
          </w:tcPr>
          <w:p w14:paraId="3771AFE5">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定期收集、研究产业经营政策，</w:t>
            </w:r>
            <w:r>
              <w:rPr>
                <w:rFonts w:hint="eastAsia" w:ascii="仿宋_GB2312" w:hAnsi="仿宋_GB2312" w:eastAsia="仿宋_GB2312" w:cs="仿宋_GB2312"/>
                <w:color w:val="auto"/>
                <w:sz w:val="21"/>
                <w:szCs w:val="21"/>
                <w:highlight w:val="none"/>
              </w:rPr>
              <w:t>收集、统计、整理和分析市场、所属企业相</w:t>
            </w:r>
            <w:r>
              <w:rPr>
                <w:rFonts w:hint="eastAsia" w:ascii="仿宋_GB2312" w:hAnsi="仿宋_GB2312" w:eastAsia="仿宋_GB2312" w:cs="仿宋_GB2312"/>
                <w:color w:val="auto"/>
                <w:sz w:val="21"/>
                <w:szCs w:val="21"/>
                <w:highlight w:val="none"/>
                <w:lang w:val="en-US" w:eastAsia="zh-CN"/>
              </w:rPr>
              <w:t>；</w:t>
            </w:r>
          </w:p>
          <w:p w14:paraId="04D4BE57">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关业务运营数据信息，预判和预警重大运营风险</w:t>
            </w:r>
            <w:r>
              <w:rPr>
                <w:rFonts w:hint="eastAsia" w:ascii="仿宋_GB2312" w:hAnsi="仿宋_GB2312" w:eastAsia="仿宋_GB2312" w:cs="仿宋_GB2312"/>
                <w:color w:val="auto"/>
                <w:sz w:val="21"/>
                <w:szCs w:val="21"/>
                <w:highlight w:val="none"/>
                <w:lang w:val="en-US" w:eastAsia="zh-CN"/>
              </w:rPr>
              <w:t>；</w:t>
            </w:r>
          </w:p>
          <w:p w14:paraId="6E9E5424">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对所属企业经营计划进行动态监控和风险预警</w:t>
            </w:r>
            <w:r>
              <w:rPr>
                <w:rFonts w:hint="eastAsia" w:ascii="仿宋_GB2312" w:hAnsi="仿宋_GB2312" w:eastAsia="仿宋_GB2312" w:cs="仿宋_GB2312"/>
                <w:color w:val="auto"/>
                <w:sz w:val="21"/>
                <w:szCs w:val="21"/>
                <w:highlight w:val="none"/>
                <w:lang w:val="en-US" w:eastAsia="zh-CN"/>
              </w:rPr>
              <w:t>；</w:t>
            </w:r>
          </w:p>
          <w:p w14:paraId="6C39F11A">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4.对所属企业经营性净现金流量进行动态监控和风险预警；</w:t>
            </w:r>
          </w:p>
          <w:p w14:paraId="6A0CB3F6">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5.编制集团经营统计报表和分析报告；</w:t>
            </w:r>
          </w:p>
          <w:p w14:paraId="53493CA7">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归口管理公司履行多元投资主体公司出资人职责有关工作，包括组织建立跟踪服务机制和沟通联络机制，协调企业各方股东关系，建立日常监督管理工作机制，强化风险监控，对已发生风险信号的企业提出风险预警，协调内外资源应对解决；</w:t>
            </w:r>
          </w:p>
          <w:p w14:paraId="71D2159A">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贯彻落实聚焦主业、管控风险要求，参与组织相关部门对公司重点管控业务提出内控和经营管理核心控制点，并收集核心经营管理指标数据，对经营健康度进行监控和通报</w:t>
            </w:r>
            <w:r>
              <w:rPr>
                <w:rFonts w:hint="eastAsia" w:ascii="仿宋_GB2312" w:hAnsi="仿宋_GB2312" w:eastAsia="仿宋_GB2312" w:cs="仿宋_GB2312"/>
                <w:color w:val="auto"/>
                <w:sz w:val="21"/>
                <w:szCs w:val="21"/>
                <w:highlight w:val="none"/>
                <w:lang w:val="en-US" w:eastAsia="zh-CN"/>
              </w:rPr>
              <w:t>；</w:t>
            </w:r>
          </w:p>
          <w:p w14:paraId="57AC0AF6">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8.参股企业的运行监测、股权估值等。</w:t>
            </w:r>
          </w:p>
        </w:tc>
      </w:tr>
      <w:tr w14:paraId="4AED36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341" w:type="pct"/>
            <w:noWrap w:val="0"/>
            <w:vAlign w:val="center"/>
          </w:tcPr>
          <w:p w14:paraId="41145F5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539" w:type="pct"/>
            <w:noWrap w:val="0"/>
            <w:vAlign w:val="center"/>
          </w:tcPr>
          <w:p w14:paraId="678BE2B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国有资产管理</w:t>
            </w:r>
          </w:p>
        </w:tc>
        <w:tc>
          <w:tcPr>
            <w:tcW w:w="4118" w:type="pct"/>
            <w:gridSpan w:val="4"/>
            <w:noWrap w:val="0"/>
            <w:vAlign w:val="center"/>
          </w:tcPr>
          <w:p w14:paraId="6AB48601">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1.组织公司、所属企业产权登记、变更、注销等，汇总分析投资企业产权登记和变动情况；</w:t>
            </w:r>
          </w:p>
          <w:p w14:paraId="4053C2C7">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.参与公司产权或重大资产变动事项，包括无偿划入、无偿划出、资产置换等，审核所属企业产权或重大资产变动事项；</w:t>
            </w:r>
          </w:p>
          <w:p w14:paraId="09B3E332">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.负责制定资产评估管理相关制度；</w:t>
            </w:r>
          </w:p>
          <w:p w14:paraId="2695ECDC">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指导开展所属企业资产评估，提出意见和建议；负责公司、所属企业资产评估项目备案管理和监督检查，报上级机关进行核准。</w:t>
            </w:r>
          </w:p>
        </w:tc>
      </w:tr>
      <w:tr w14:paraId="352D88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1" w:type="pct"/>
            <w:noWrap w:val="0"/>
            <w:vAlign w:val="center"/>
          </w:tcPr>
          <w:p w14:paraId="38868F9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539" w:type="pct"/>
            <w:noWrap w:val="0"/>
            <w:vAlign w:val="center"/>
          </w:tcPr>
          <w:p w14:paraId="68743A3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其他</w:t>
            </w:r>
          </w:p>
        </w:tc>
        <w:tc>
          <w:tcPr>
            <w:tcW w:w="4118" w:type="pct"/>
            <w:gridSpan w:val="4"/>
            <w:noWrap w:val="0"/>
            <w:vAlign w:val="center"/>
          </w:tcPr>
          <w:p w14:paraId="434E1F42">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完成领导交办的其他工作事项</w:t>
            </w:r>
            <w:r>
              <w:rPr>
                <w:rFonts w:hint="eastAsia" w:ascii="仿宋_GB2312" w:hAnsi="仿宋_GB2312" w:eastAsia="仿宋_GB2312" w:cs="仿宋_GB2312"/>
                <w:color w:val="auto"/>
                <w:sz w:val="21"/>
                <w:szCs w:val="21"/>
                <w:highlight w:val="none"/>
                <w:lang w:eastAsia="zh-CN"/>
              </w:rPr>
              <w:t>。</w:t>
            </w:r>
          </w:p>
        </w:tc>
      </w:tr>
      <w:tr w14:paraId="1041E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97" w:hRule="atLeast"/>
        </w:trPr>
        <w:tc>
          <w:tcPr>
            <w:tcW w:w="4994" w:type="pct"/>
            <w:gridSpan w:val="5"/>
            <w:tcBorders>
              <w:tl2br w:val="nil"/>
              <w:tr2bl w:val="nil"/>
            </w:tcBorders>
            <w:shd w:val="clear" w:color="auto" w:fill="D8D8D8"/>
            <w:noWrap w:val="0"/>
            <w:vAlign w:val="center"/>
          </w:tcPr>
          <w:p w14:paraId="7D3DEFF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三、任职资格</w:t>
            </w:r>
          </w:p>
        </w:tc>
      </w:tr>
      <w:tr w14:paraId="5C6B3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085" w:hRule="atLeast"/>
        </w:trPr>
        <w:tc>
          <w:tcPr>
            <w:tcW w:w="4994" w:type="pct"/>
            <w:gridSpan w:val="5"/>
            <w:tcBorders>
              <w:tl2br w:val="nil"/>
              <w:tr2bl w:val="nil"/>
            </w:tcBorders>
            <w:shd w:val="clear" w:color="auto" w:fill="FFFFFF"/>
            <w:noWrap w:val="0"/>
            <w:vAlign w:val="center"/>
          </w:tcPr>
          <w:p w14:paraId="3118EDC3">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2"/>
                <w:sz w:val="21"/>
                <w:szCs w:val="21"/>
                <w:lang w:val="en-US" w:eastAsia="zh-CN" w:bidi="ar-SA"/>
              </w:rPr>
              <w:t>1.</w:t>
            </w:r>
            <w:r>
              <w:rPr>
                <w:rFonts w:hint="eastAsia" w:ascii="仿宋_GB2312" w:hAnsi="仿宋_GB2312" w:eastAsia="仿宋_GB2312" w:cs="仿宋_GB2312"/>
                <w:color w:val="auto"/>
                <w:sz w:val="21"/>
                <w:szCs w:val="21"/>
              </w:rPr>
              <w:t>学历与职称（职业资格）：</w:t>
            </w:r>
            <w:r>
              <w:rPr>
                <w:rFonts w:hint="eastAsia" w:ascii="仿宋_GB2312" w:hAnsi="仿宋_GB2312" w:cs="仿宋_GB2312"/>
                <w:b w:val="0"/>
                <w:bCs w:val="0"/>
                <w:color w:val="auto"/>
                <w:sz w:val="21"/>
                <w:szCs w:val="21"/>
                <w:lang w:val="en-US" w:eastAsia="zh-CN"/>
              </w:rPr>
              <w:t>硕士</w:t>
            </w:r>
            <w:r>
              <w:rPr>
                <w:rFonts w:hint="eastAsia" w:ascii="仿宋_GB2312" w:hAnsi="仿宋_GB2312" w:eastAsia="仿宋_GB2312" w:cs="仿宋_GB2312"/>
                <w:b w:val="0"/>
                <w:bCs w:val="0"/>
                <w:color w:val="auto"/>
                <w:sz w:val="21"/>
                <w:szCs w:val="21"/>
                <w:lang w:val="en-US" w:eastAsia="zh-CN"/>
              </w:rPr>
              <w:t>及以上学历，</w:t>
            </w:r>
            <w:r>
              <w:rPr>
                <w:rFonts w:hint="eastAsia" w:ascii="仿宋_GB2312" w:hAnsi="仿宋_GB2312" w:cs="仿宋_GB2312"/>
                <w:b w:val="0"/>
                <w:bCs w:val="0"/>
                <w:color w:val="auto"/>
                <w:sz w:val="21"/>
                <w:szCs w:val="21"/>
                <w:lang w:val="en-US" w:eastAsia="zh-CN"/>
              </w:rPr>
              <w:t>或</w:t>
            </w:r>
            <w:r>
              <w:rPr>
                <w:rFonts w:hint="eastAsia" w:ascii="仿宋_GB2312" w:hAnsi="仿宋_GB2312" w:cs="仿宋_GB2312"/>
                <w:color w:val="auto"/>
                <w:sz w:val="21"/>
                <w:szCs w:val="21"/>
                <w:lang w:val="en-US" w:eastAsia="zh-CN"/>
              </w:rPr>
              <w:t>本科学历同时具备经济类、会计类初级及以上职称，</w:t>
            </w:r>
            <w:r>
              <w:rPr>
                <w:rFonts w:hint="eastAsia" w:ascii="仿宋_GB2312" w:hAnsi="仿宋_GB2312" w:eastAsia="仿宋_GB2312" w:cs="仿宋_GB2312"/>
                <w:color w:val="auto"/>
                <w:sz w:val="21"/>
                <w:szCs w:val="21"/>
                <w:lang w:val="en-US" w:eastAsia="zh-CN"/>
              </w:rPr>
              <w:t>财务管理</w:t>
            </w:r>
            <w:r>
              <w:rPr>
                <w:rFonts w:hint="eastAsia" w:ascii="仿宋_GB2312" w:hAnsi="仿宋_GB2312" w:eastAsia="仿宋_GB2312" w:cs="仿宋_GB2312"/>
                <w:color w:val="auto"/>
                <w:sz w:val="21"/>
                <w:szCs w:val="21"/>
              </w:rPr>
              <w:t>、会计、审计、经济</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统计</w:t>
            </w:r>
            <w:r>
              <w:rPr>
                <w:rFonts w:hint="eastAsia" w:ascii="仿宋_GB2312" w:hAnsi="仿宋_GB2312" w:eastAsia="仿宋_GB2312" w:cs="仿宋_GB2312"/>
                <w:color w:val="auto"/>
                <w:sz w:val="21"/>
                <w:szCs w:val="21"/>
              </w:rPr>
              <w:t>等</w:t>
            </w:r>
            <w:r>
              <w:rPr>
                <w:rFonts w:hint="eastAsia" w:ascii="仿宋_GB2312" w:hAnsi="仿宋_GB2312" w:eastAsia="仿宋_GB2312" w:cs="仿宋_GB2312"/>
                <w:color w:val="auto"/>
                <w:sz w:val="21"/>
                <w:szCs w:val="21"/>
                <w:lang w:val="en-US" w:eastAsia="zh-CN"/>
              </w:rPr>
              <w:t>相关专业</w:t>
            </w: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rPr>
              <w:t>通过CPA考试的优先</w:t>
            </w:r>
            <w:r>
              <w:rPr>
                <w:rFonts w:hint="eastAsia" w:ascii="仿宋_GB2312" w:hAnsi="仿宋_GB2312" w:eastAsia="仿宋_GB2312" w:cs="仿宋_GB2312"/>
                <w:color w:val="auto"/>
                <w:sz w:val="21"/>
                <w:szCs w:val="21"/>
                <w:lang w:eastAsia="zh-CN"/>
              </w:rPr>
              <w:t>；</w:t>
            </w:r>
          </w:p>
          <w:p w14:paraId="3BBD1273">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firstLine="420" w:firstLineChars="200"/>
              <w:textAlignment w:val="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kern w:val="2"/>
                <w:sz w:val="21"/>
                <w:szCs w:val="21"/>
                <w:lang w:val="en-US" w:eastAsia="zh-CN" w:bidi="ar-SA"/>
              </w:rPr>
              <w:t>2.</w:t>
            </w:r>
            <w:r>
              <w:rPr>
                <w:rFonts w:hint="eastAsia" w:ascii="仿宋_GB2312" w:hAnsi="仿宋_GB2312" w:eastAsia="仿宋_GB2312" w:cs="仿宋_GB2312"/>
                <w:color w:val="auto"/>
                <w:sz w:val="21"/>
                <w:szCs w:val="21"/>
              </w:rPr>
              <w:t>履历：</w:t>
            </w:r>
            <w:r>
              <w:rPr>
                <w:rFonts w:hint="eastAsia" w:ascii="仿宋_GB2312" w:hAnsi="仿宋_GB2312" w:eastAsia="仿宋_GB2312" w:cs="仿宋_GB2312"/>
                <w:color w:val="auto"/>
                <w:sz w:val="21"/>
                <w:szCs w:val="21"/>
                <w:lang w:val="en-US" w:eastAsia="zh-CN"/>
              </w:rPr>
              <w:t>具备2年</w:t>
            </w:r>
            <w:r>
              <w:rPr>
                <w:rFonts w:hint="eastAsia" w:ascii="仿宋_GB2312" w:hAnsi="仿宋_GB2312" w:eastAsia="仿宋_GB2312" w:cs="仿宋_GB2312"/>
                <w:b w:val="0"/>
                <w:bCs w:val="0"/>
                <w:color w:val="auto"/>
                <w:sz w:val="21"/>
                <w:szCs w:val="21"/>
                <w:lang w:val="en-US" w:eastAsia="zh-CN"/>
              </w:rPr>
              <w:t>企业运营管理、财务管理、国有产权管理等</w:t>
            </w:r>
            <w:r>
              <w:rPr>
                <w:rFonts w:hint="eastAsia" w:ascii="仿宋_GB2312" w:hAnsi="仿宋_GB2312" w:eastAsia="仿宋_GB2312" w:cs="仿宋_GB2312"/>
                <w:b w:val="0"/>
                <w:bCs w:val="0"/>
                <w:color w:val="auto"/>
                <w:sz w:val="21"/>
                <w:szCs w:val="21"/>
              </w:rPr>
              <w:t>相关工作经验</w:t>
            </w:r>
            <w:r>
              <w:rPr>
                <w:rFonts w:hint="eastAsia" w:ascii="仿宋_GB2312" w:hAnsi="仿宋_GB2312" w:eastAsia="仿宋_GB2312" w:cs="仿宋_GB2312"/>
                <w:b w:val="0"/>
                <w:bCs w:val="0"/>
                <w:color w:val="auto"/>
                <w:sz w:val="21"/>
                <w:szCs w:val="21"/>
                <w:lang w:eastAsia="zh-CN"/>
              </w:rPr>
              <w:t>；</w:t>
            </w:r>
          </w:p>
          <w:p w14:paraId="4EB4680F">
            <w:pPr>
              <w:pStyle w:val="5"/>
              <w:keepNext w:val="0"/>
              <w:keepLines w:val="0"/>
              <w:pageBreakBefore w:val="0"/>
              <w:widowControl/>
              <w:kinsoku/>
              <w:wordWrap/>
              <w:overflowPunct/>
              <w:topLinePunct w:val="0"/>
              <w:autoSpaceDE/>
              <w:autoSpaceDN/>
              <w:bidi w:val="0"/>
              <w:adjustRightInd/>
              <w:snapToGrid/>
              <w:spacing w:after="0" w:line="320" w:lineRule="exact"/>
              <w:ind w:left="0" w:leftChars="0" w:firstLine="420" w:firstLineChars="200"/>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b w:val="0"/>
                <w:bCs w:val="0"/>
                <w:color w:val="auto"/>
                <w:sz w:val="21"/>
                <w:szCs w:val="21"/>
              </w:rPr>
              <w:t>.知识、技能与素质：</w:t>
            </w:r>
          </w:p>
          <w:p w14:paraId="2EF866CC">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（1）具有良好的财务</w:t>
            </w:r>
            <w:r>
              <w:rPr>
                <w:rFonts w:hint="eastAsia" w:ascii="仿宋_GB2312" w:hAnsi="仿宋_GB2312" w:eastAsia="仿宋_GB2312" w:cs="仿宋_GB2312"/>
                <w:b w:val="0"/>
                <w:bCs w:val="0"/>
                <w:color w:val="auto"/>
                <w:sz w:val="21"/>
                <w:szCs w:val="21"/>
                <w:lang w:val="en-US" w:eastAsia="zh-CN"/>
              </w:rPr>
              <w:t>管理</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工商管理、统计学</w:t>
            </w:r>
            <w:r>
              <w:rPr>
                <w:rFonts w:hint="eastAsia" w:ascii="仿宋_GB2312" w:hAnsi="仿宋_GB2312" w:eastAsia="仿宋_GB2312" w:cs="仿宋_GB2312"/>
                <w:b w:val="0"/>
                <w:bCs w:val="0"/>
                <w:color w:val="auto"/>
                <w:sz w:val="21"/>
                <w:szCs w:val="21"/>
              </w:rPr>
              <w:t>等领域知识与技能，熟悉</w:t>
            </w:r>
            <w:r>
              <w:rPr>
                <w:rFonts w:hint="eastAsia" w:ascii="仿宋_GB2312" w:hAnsi="仿宋_GB2312" w:eastAsia="仿宋_GB2312" w:cs="仿宋_GB2312"/>
                <w:b w:val="0"/>
                <w:bCs w:val="0"/>
                <w:color w:val="auto"/>
                <w:sz w:val="21"/>
                <w:szCs w:val="21"/>
                <w:lang w:val="en-US" w:eastAsia="zh-CN"/>
              </w:rPr>
              <w:t>国有产权</w:t>
            </w:r>
            <w:r>
              <w:rPr>
                <w:rFonts w:hint="eastAsia" w:ascii="仿宋_GB2312" w:hAnsi="仿宋_GB2312" w:eastAsia="仿宋_GB2312" w:cs="仿宋_GB2312"/>
                <w:b w:val="0"/>
                <w:bCs w:val="0"/>
                <w:color w:val="auto"/>
                <w:sz w:val="21"/>
                <w:szCs w:val="21"/>
              </w:rPr>
              <w:t>管理、</w:t>
            </w:r>
            <w:r>
              <w:rPr>
                <w:rFonts w:hint="eastAsia" w:ascii="仿宋_GB2312" w:hAnsi="仿宋_GB2312" w:eastAsia="仿宋_GB2312" w:cs="仿宋_GB2312"/>
                <w:b w:val="0"/>
                <w:bCs w:val="0"/>
                <w:color w:val="auto"/>
                <w:sz w:val="21"/>
                <w:szCs w:val="21"/>
                <w:lang w:val="en-US" w:eastAsia="zh-CN"/>
              </w:rPr>
              <w:t>企业运营</w:t>
            </w:r>
            <w:r>
              <w:rPr>
                <w:rFonts w:hint="eastAsia" w:ascii="仿宋_GB2312" w:hAnsi="仿宋_GB2312" w:eastAsia="仿宋_GB2312" w:cs="仿宋_GB2312"/>
                <w:b w:val="0"/>
                <w:bCs w:val="0"/>
                <w:color w:val="auto"/>
                <w:sz w:val="21"/>
                <w:szCs w:val="21"/>
              </w:rPr>
              <w:t>及公司业务板块相关知识；</w:t>
            </w:r>
          </w:p>
          <w:p w14:paraId="01617C97">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2</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熟悉平台类集团公司运营，产权管理等</w:t>
            </w:r>
            <w:r>
              <w:rPr>
                <w:rFonts w:hint="eastAsia" w:ascii="仿宋_GB2312" w:hAnsi="仿宋_GB2312" w:eastAsia="仿宋_GB2312" w:cs="仿宋_GB2312"/>
                <w:b w:val="0"/>
                <w:bCs w:val="0"/>
                <w:color w:val="auto"/>
                <w:sz w:val="21"/>
                <w:szCs w:val="21"/>
              </w:rPr>
              <w:t>方面的工作内容和流程，在相关领域具有丰富的</w:t>
            </w:r>
            <w:r>
              <w:rPr>
                <w:rFonts w:hint="eastAsia" w:ascii="仿宋_GB2312" w:hAnsi="仿宋_GB2312" w:eastAsia="仿宋_GB2312" w:cs="仿宋_GB2312"/>
                <w:b w:val="0"/>
                <w:bCs w:val="0"/>
                <w:color w:val="auto"/>
                <w:sz w:val="21"/>
                <w:szCs w:val="21"/>
                <w:lang w:val="en-US" w:eastAsia="zh-CN"/>
              </w:rPr>
              <w:t>综合管理</w:t>
            </w:r>
            <w:r>
              <w:rPr>
                <w:rFonts w:hint="eastAsia" w:ascii="仿宋_GB2312" w:hAnsi="仿宋_GB2312" w:eastAsia="仿宋_GB2312" w:cs="仿宋_GB2312"/>
                <w:b w:val="0"/>
                <w:bCs w:val="0"/>
                <w:color w:val="auto"/>
                <w:sz w:val="21"/>
                <w:szCs w:val="21"/>
              </w:rPr>
              <w:t>经验，能够独立开展工作，在例行事务中能够主动承担主要责任；</w:t>
            </w:r>
          </w:p>
          <w:p w14:paraId="252BBCC7">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b w:val="0"/>
                <w:bCs w:val="0"/>
                <w:color w:val="auto"/>
                <w:sz w:val="21"/>
                <w:szCs w:val="21"/>
              </w:rPr>
              <w:t>具有持续学习能力，能够主动跟踪本行业的发展动态，不断更新迭代专业知识与管理知识；能够熟练使用相关办公软件；</w:t>
            </w:r>
          </w:p>
          <w:p w14:paraId="3209B0E5">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4</w:t>
            </w:r>
            <w:r>
              <w:rPr>
                <w:rFonts w:hint="eastAsia" w:ascii="仿宋_GB2312" w:hAnsi="仿宋_GB2312" w:eastAsia="仿宋_GB2312" w:cs="仿宋_GB2312"/>
                <w:b w:val="0"/>
                <w:bCs w:val="0"/>
                <w:color w:val="auto"/>
                <w:sz w:val="21"/>
                <w:szCs w:val="21"/>
              </w:rPr>
              <w:t>）为人正直廉洁，作风正派，做事严谨细致，保密意识强，具有高度的责任感与团队精神，以及较好</w:t>
            </w:r>
            <w:r>
              <w:rPr>
                <w:rFonts w:hint="eastAsia" w:ascii="仿宋_GB2312" w:hAnsi="仿宋_GB2312" w:eastAsia="仿宋_GB2312" w:cs="仿宋_GB2312"/>
                <w:color w:val="auto"/>
                <w:sz w:val="21"/>
                <w:szCs w:val="21"/>
              </w:rPr>
              <w:t>的公文写作能力；</w:t>
            </w:r>
          </w:p>
          <w:p w14:paraId="1E68F138">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.胜任力要求：具有较强的学习能力、分析研判、沟通协调、责任意识、团队意识以及抗压能力</w:t>
            </w:r>
            <w:r>
              <w:rPr>
                <w:rFonts w:hint="eastAsia" w:ascii="仿宋_GB2312" w:hAnsi="仿宋_GB2312" w:eastAsia="仿宋_GB2312" w:cs="仿宋_GB2312"/>
                <w:color w:val="auto"/>
                <w:sz w:val="21"/>
                <w:szCs w:val="21"/>
                <w:lang w:eastAsia="zh-CN"/>
              </w:rPr>
              <w:t>；</w:t>
            </w:r>
          </w:p>
          <w:p w14:paraId="5B1AD776">
            <w:pPr>
              <w:pStyle w:val="5"/>
              <w:keepNext w:val="0"/>
              <w:keepLines w:val="0"/>
              <w:pageBreakBefore w:val="0"/>
              <w:widowControl/>
              <w:kinsoku/>
              <w:wordWrap/>
              <w:overflowPunct/>
              <w:topLinePunct w:val="0"/>
              <w:autoSpaceDE/>
              <w:autoSpaceDN/>
              <w:bidi w:val="0"/>
              <w:adjustRightInd/>
              <w:snapToGrid/>
              <w:spacing w:after="0" w:line="320" w:lineRule="exact"/>
              <w:ind w:left="0" w:leftChars="0" w:firstLine="420" w:firstLineChars="200"/>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.年龄：4</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周岁及以下</w:t>
            </w:r>
            <w:r>
              <w:rPr>
                <w:rFonts w:hint="eastAsia" w:ascii="仿宋_GB2312" w:hAnsi="仿宋_GB2312" w:eastAsia="仿宋_GB2312" w:cs="仿宋_GB2312"/>
                <w:color w:val="auto"/>
                <w:sz w:val="21"/>
                <w:szCs w:val="21"/>
                <w:lang w:eastAsia="zh-CN"/>
              </w:rPr>
              <w:t>；</w:t>
            </w:r>
          </w:p>
          <w:p w14:paraId="1E80DD06">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.个人履历或工作业绩等方面较为优秀的，可适当放宽任职资格条件</w:t>
            </w:r>
            <w:r>
              <w:rPr>
                <w:rFonts w:hint="eastAsia" w:ascii="仿宋_GB2312" w:hAnsi="仿宋_GB2312" w:eastAsia="仿宋_GB2312" w:cs="仿宋_GB2312"/>
                <w:color w:val="auto"/>
                <w:sz w:val="21"/>
                <w:szCs w:val="21"/>
                <w:lang w:eastAsia="zh-CN"/>
              </w:rPr>
              <w:t>。</w:t>
            </w:r>
          </w:p>
        </w:tc>
      </w:tr>
    </w:tbl>
    <w:p w14:paraId="0EF6B430">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lang w:val="en-US" w:eastAsia="zh-CN"/>
        </w:rPr>
      </w:pPr>
    </w:p>
    <w:p w14:paraId="50A0FD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9186E"/>
    <w:rsid w:val="7D19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Times New Roman" w:hAnsi="Times New Roman" w:eastAsia="仿宋_GB2312" w:cs="Times New Roman"/>
      <w:sz w:val="32"/>
      <w:szCs w:val="24"/>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2025-05-21T06:48:00Z</dcterms:created>
  <dc:creator>李昭妍</dc:creator>
  <cp:lastModifiedBy>李昭妍</cp:lastModifiedBy>
  <dcterms:modified xsi:type="dcterms:W3CDTF">2025-05-21T06:48:25Z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AF99C16B19EA4A0193210A4C4C94DC08_11</vt:lpwstr>
  </property>
  <property fmtid="{D5CDD505-2E9C-101B-9397-08002B2CF9AE}" pid="4" name="KSOTemplateDocerSaveRecord">
    <vt:lpwstr>eyJoZGlkIjoiMjg3YjI0YjlmMDM1YzA3ZTA3MjI4NWU0ZjU3NjI2NTEiLCJ1c2VySWQiOiI4MDA1ODM5MjUifQ==</vt:lpwstr>
  </property>
</Properties>
</file>