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5124">
      <w:pPr>
        <w:pStyle w:val="2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附件：</w:t>
      </w:r>
    </w:p>
    <w:p w14:paraId="1DB7275C">
      <w:pPr>
        <w:pStyle w:val="2"/>
        <w:jc w:val="center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</w:rPr>
        <w:t>岗位说明书</w:t>
      </w: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/>
        </w:rPr>
        <w:t>法务管理岗经理</w:t>
      </w: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eastAsia="zh-CN"/>
        </w:rPr>
        <w:t>）</w:t>
      </w:r>
    </w:p>
    <w:tbl>
      <w:tblPr>
        <w:tblStyle w:val="4"/>
        <w:tblW w:w="5189" w:type="pct"/>
        <w:tblInd w:w="-15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431"/>
        <w:gridCol w:w="3203"/>
        <w:gridCol w:w="1527"/>
        <w:gridCol w:w="2697"/>
      </w:tblGrid>
      <w:tr w14:paraId="4D68BF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shd w:val="clear" w:color="auto" w:fill="D8D8D8"/>
            <w:noWrap w:val="0"/>
            <w:vAlign w:val="center"/>
          </w:tcPr>
          <w:p w14:paraId="47A652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一、岗位信息</w:t>
            </w:r>
          </w:p>
        </w:tc>
      </w:tr>
      <w:tr w14:paraId="3F5FC1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2" w:type="pct"/>
            <w:gridSpan w:val="2"/>
            <w:noWrap w:val="0"/>
            <w:vAlign w:val="center"/>
          </w:tcPr>
          <w:p w14:paraId="5BB631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部门名称</w:t>
            </w:r>
          </w:p>
        </w:tc>
        <w:tc>
          <w:tcPr>
            <w:tcW w:w="1932" w:type="pct"/>
            <w:gridSpan w:val="2"/>
            <w:noWrap w:val="0"/>
            <w:vAlign w:val="center"/>
          </w:tcPr>
          <w:p w14:paraId="1362716F"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风控法务部</w:t>
            </w:r>
          </w:p>
        </w:tc>
        <w:tc>
          <w:tcPr>
            <w:tcW w:w="812" w:type="pct"/>
            <w:noWrap w:val="0"/>
            <w:vAlign w:val="center"/>
          </w:tcPr>
          <w:p w14:paraId="6728C3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岗位序列</w:t>
            </w:r>
          </w:p>
        </w:tc>
        <w:tc>
          <w:tcPr>
            <w:tcW w:w="1431" w:type="pct"/>
            <w:noWrap w:val="0"/>
            <w:vAlign w:val="center"/>
          </w:tcPr>
          <w:p w14:paraId="64CB629F"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专业序列</w:t>
            </w:r>
          </w:p>
        </w:tc>
      </w:tr>
      <w:tr w14:paraId="3891E3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2" w:type="pct"/>
            <w:gridSpan w:val="2"/>
            <w:noWrap w:val="0"/>
            <w:vAlign w:val="center"/>
          </w:tcPr>
          <w:p w14:paraId="143E61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岗位名称</w:t>
            </w:r>
          </w:p>
        </w:tc>
        <w:tc>
          <w:tcPr>
            <w:tcW w:w="1932" w:type="pct"/>
            <w:gridSpan w:val="2"/>
            <w:noWrap w:val="0"/>
            <w:vAlign w:val="center"/>
          </w:tcPr>
          <w:p w14:paraId="484EB625"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法务管理岗经理</w:t>
            </w:r>
          </w:p>
        </w:tc>
        <w:tc>
          <w:tcPr>
            <w:tcW w:w="812" w:type="pct"/>
            <w:noWrap w:val="0"/>
            <w:vAlign w:val="center"/>
          </w:tcPr>
          <w:p w14:paraId="4FDBEA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  <w:lang w:val="en-US" w:eastAsia="zh-CN"/>
              </w:rPr>
              <w:t>薪酬区间</w:t>
            </w:r>
          </w:p>
        </w:tc>
        <w:tc>
          <w:tcPr>
            <w:tcW w:w="1431" w:type="pct"/>
            <w:noWrap w:val="0"/>
            <w:vAlign w:val="center"/>
          </w:tcPr>
          <w:p w14:paraId="17ACE245">
            <w:pPr>
              <w:spacing w:line="40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16.8w-24w</w:t>
            </w:r>
          </w:p>
        </w:tc>
      </w:tr>
      <w:tr w14:paraId="019824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shd w:val="clear" w:color="auto" w:fill="D8D8D8"/>
            <w:noWrap w:val="0"/>
            <w:vAlign w:val="center"/>
          </w:tcPr>
          <w:p w14:paraId="637ABF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二、岗位职责</w:t>
            </w:r>
          </w:p>
        </w:tc>
      </w:tr>
      <w:tr w14:paraId="3DE559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" w:type="pct"/>
            <w:noWrap w:val="0"/>
            <w:vAlign w:val="center"/>
          </w:tcPr>
          <w:p w14:paraId="390DBF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640" w:type="pct"/>
            <w:gridSpan w:val="2"/>
            <w:noWrap w:val="0"/>
            <w:vAlign w:val="center"/>
          </w:tcPr>
          <w:p w14:paraId="2BF145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职能模块</w:t>
            </w:r>
          </w:p>
        </w:tc>
        <w:tc>
          <w:tcPr>
            <w:tcW w:w="3947" w:type="pct"/>
            <w:gridSpan w:val="3"/>
            <w:noWrap w:val="0"/>
            <w:vAlign w:val="center"/>
          </w:tcPr>
          <w:p w14:paraId="14B638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主要职责</w:t>
            </w:r>
          </w:p>
        </w:tc>
      </w:tr>
      <w:tr w14:paraId="3DF30B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" w:type="pct"/>
            <w:noWrap w:val="0"/>
            <w:vAlign w:val="center"/>
          </w:tcPr>
          <w:p w14:paraId="4153BE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40" w:type="pct"/>
            <w:gridSpan w:val="2"/>
            <w:noWrap w:val="0"/>
            <w:vAlign w:val="center"/>
          </w:tcPr>
          <w:p w14:paraId="3C9DDD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法务支持</w:t>
            </w:r>
          </w:p>
        </w:tc>
        <w:tc>
          <w:tcPr>
            <w:tcW w:w="3947" w:type="pct"/>
            <w:gridSpan w:val="3"/>
            <w:noWrap w:val="0"/>
            <w:vAlign w:val="center"/>
          </w:tcPr>
          <w:p w14:paraId="2F08D9F3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统筹管理集团法治文化建设及宣传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工作；</w:t>
            </w:r>
          </w:p>
          <w:p w14:paraId="42FC1E76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负责集团专项项目法务审查工作，协助律师开展尽调，根据需要出具独立的审查意见；</w:t>
            </w:r>
          </w:p>
          <w:p w14:paraId="6D6225BC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负责对集团正式流转的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各类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进行法律审查工作；</w:t>
            </w:r>
          </w:p>
          <w:p w14:paraId="767D15C7">
            <w:pPr>
              <w:pStyle w:val="6"/>
              <w:numPr>
                <w:ilvl w:val="0"/>
                <w:numId w:val="1"/>
              </w:numPr>
              <w:spacing w:line="400" w:lineRule="exact"/>
              <w:ind w:left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对集团重大经营决策事项提供法律咨询及法律论证服务，参加各类专项会议并独立发表法律意见；</w:t>
            </w:r>
          </w:p>
          <w:p w14:paraId="1DD71ABE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负责集团规章制度的合法性审查，参与集团总部重大经济合同谈判、审核及监督工作；</w:t>
            </w:r>
          </w:p>
          <w:p w14:paraId="0821ECD9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法律事务管理工作及法律事务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目标考核工作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</w:p>
          <w:p w14:paraId="40556B24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负责法治建设相关总结报告工作。</w:t>
            </w:r>
          </w:p>
        </w:tc>
      </w:tr>
      <w:tr w14:paraId="7C8068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" w:type="pct"/>
            <w:noWrap w:val="0"/>
            <w:vAlign w:val="center"/>
          </w:tcPr>
          <w:p w14:paraId="747D04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40" w:type="pct"/>
            <w:gridSpan w:val="2"/>
            <w:noWrap w:val="0"/>
            <w:vAlign w:val="center"/>
          </w:tcPr>
          <w:p w14:paraId="1BDED4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诉讼管理</w:t>
            </w:r>
          </w:p>
        </w:tc>
        <w:tc>
          <w:tcPr>
            <w:tcW w:w="3947" w:type="pct"/>
            <w:gridSpan w:val="3"/>
            <w:noWrap w:val="0"/>
            <w:vAlign w:val="center"/>
          </w:tcPr>
          <w:p w14:paraId="0EDF72FF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负责处理集团知识产权、商业秘密、经济纠纷、法律诉讼等相关的仲裁法律事务与诉讼法律事务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撰写案件相关报告及法律文件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；</w:t>
            </w:r>
          </w:p>
          <w:p w14:paraId="0A867FDE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指导、监督所属企业涉及的诉讼及仲裁等法律纠纷处理工作开展；</w:t>
            </w:r>
          </w:p>
          <w:p w14:paraId="6123CE1E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按时完成集团及子企业的案件相关事项的报批或备案工作；</w:t>
            </w:r>
          </w:p>
          <w:p w14:paraId="3E9E12F6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协助对集团员工违法违纪、损害集团及股东利益的案件进行调查、协调与处理；</w:t>
            </w:r>
          </w:p>
          <w:p w14:paraId="54E5D597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协助处理集团商标、专利、商业秘密保护、公证、鉴证等涉及法律纠纷事务的问题，并指导所属企业开展工作；</w:t>
            </w:r>
          </w:p>
          <w:p w14:paraId="0A4AD9B7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协助处理集团及所属企业危机公关事宜。</w:t>
            </w:r>
          </w:p>
        </w:tc>
      </w:tr>
      <w:tr w14:paraId="678885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" w:type="pct"/>
            <w:noWrap w:val="0"/>
            <w:vAlign w:val="center"/>
          </w:tcPr>
          <w:p w14:paraId="40EBDE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0" w:type="pct"/>
            <w:gridSpan w:val="2"/>
            <w:noWrap w:val="0"/>
            <w:vAlign w:val="center"/>
          </w:tcPr>
          <w:p w14:paraId="0113C2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合规管理</w:t>
            </w:r>
          </w:p>
        </w:tc>
        <w:tc>
          <w:tcPr>
            <w:tcW w:w="3947" w:type="pct"/>
            <w:gridSpan w:val="3"/>
            <w:noWrap w:val="0"/>
            <w:vAlign w:val="center"/>
          </w:tcPr>
          <w:p w14:paraId="3543B138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负责集团及所属企业的合规管理相关工作，指导子企业加强合规体系建设，督促合规信息化管理工作；</w:t>
            </w:r>
          </w:p>
          <w:p w14:paraId="57E115AD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负责对接上级监管部门安排的合规工作，按时完成工作任务；</w:t>
            </w:r>
          </w:p>
          <w:p w14:paraId="349FFA9A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协助日常合法合规性审查，负责完成公司合规管理总结报告工作。</w:t>
            </w:r>
          </w:p>
        </w:tc>
      </w:tr>
      <w:tr w14:paraId="781A0C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" w:type="pct"/>
            <w:noWrap w:val="0"/>
            <w:vAlign w:val="center"/>
          </w:tcPr>
          <w:p w14:paraId="76D53F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40" w:type="pct"/>
            <w:gridSpan w:val="2"/>
            <w:noWrap w:val="0"/>
            <w:vAlign w:val="center"/>
          </w:tcPr>
          <w:p w14:paraId="10A9DF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常法顾问管理</w:t>
            </w:r>
          </w:p>
        </w:tc>
        <w:tc>
          <w:tcPr>
            <w:tcW w:w="3947" w:type="pct"/>
            <w:gridSpan w:val="3"/>
            <w:noWrap w:val="0"/>
            <w:vAlign w:val="center"/>
          </w:tcPr>
          <w:p w14:paraId="0AA9C158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、管理集团总部外部常年法律顾问;</w:t>
            </w:r>
          </w:p>
          <w:p w14:paraId="0C332490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指导、监督所属企业外部法律顾问比选、聘用和管理工作;</w:t>
            </w:r>
          </w:p>
          <w:p w14:paraId="51EA37F4">
            <w:pPr>
              <w:pStyle w:val="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检查、考核外部常年法律顾问的法律服务工作，负责律所评价工作。</w:t>
            </w:r>
          </w:p>
        </w:tc>
      </w:tr>
      <w:tr w14:paraId="1B0B07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11" w:type="pct"/>
            <w:noWrap w:val="0"/>
            <w:vAlign w:val="center"/>
          </w:tcPr>
          <w:p w14:paraId="250D1A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0" w:type="pct"/>
            <w:gridSpan w:val="2"/>
            <w:noWrap w:val="0"/>
            <w:vAlign w:val="center"/>
          </w:tcPr>
          <w:p w14:paraId="7EAB65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其他</w:t>
            </w:r>
          </w:p>
        </w:tc>
        <w:tc>
          <w:tcPr>
            <w:tcW w:w="3947" w:type="pct"/>
            <w:gridSpan w:val="3"/>
            <w:noWrap w:val="0"/>
            <w:vAlign w:val="center"/>
          </w:tcPr>
          <w:p w14:paraId="65A7DE4D">
            <w:pPr>
              <w:pStyle w:val="6"/>
              <w:numPr>
                <w:ilvl w:val="0"/>
                <w:numId w:val="1"/>
              </w:numPr>
              <w:spacing w:line="400" w:lineRule="exact"/>
              <w:ind w:left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认真完成公司领导交办的其他工作事项。</w:t>
            </w:r>
          </w:p>
        </w:tc>
      </w:tr>
      <w:tr w14:paraId="11053D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shd w:val="clear" w:color="auto" w:fill="D8D8D8"/>
            <w:noWrap w:val="0"/>
            <w:vAlign w:val="center"/>
          </w:tcPr>
          <w:p w14:paraId="1E94CE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三、任职资格</w:t>
            </w:r>
          </w:p>
        </w:tc>
      </w:tr>
      <w:tr w14:paraId="330A38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000" w:type="pct"/>
            <w:gridSpan w:val="6"/>
            <w:noWrap w:val="0"/>
            <w:vAlign w:val="center"/>
          </w:tcPr>
          <w:p w14:paraId="7C56061C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1.学历与职称（职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业资格）：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及以上学历，法学相关专业，取得国家法律职业A级证书。同时通过CPA、CFA、FRM等资格考试的优先；</w:t>
            </w:r>
          </w:p>
          <w:p w14:paraId="24C4EF87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2.履历：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年及以上法律相关工作经验，同时具有同类型岗位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年及以上工作经验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；</w:t>
            </w:r>
          </w:p>
          <w:p w14:paraId="017B0866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3.知识、技能与素质</w:t>
            </w:r>
          </w:p>
          <w:p w14:paraId="5BA29B17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（1）具有良好的法律领域全面知识与技能，具有创新思想与有效工作思路与方法，能够提出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案件推进思路和策略，为案件推进提供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意见建议；</w:t>
            </w:r>
          </w:p>
          <w:p w14:paraId="7855CD19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（2）熟悉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及诉讼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的相关知识，能够对法律风险进行识别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预警、管控，能够独立参与法律诉讼事务；</w:t>
            </w:r>
          </w:p>
          <w:p w14:paraId="1886B2F4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（3）熟练掌握法律工作要求、规范规则及操作流程，具有丰富的相关工作经验，能独立开展工作，在例行事务中能够主动承担主要责任；</w:t>
            </w:r>
          </w:p>
          <w:p w14:paraId="344D4807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（4）具有较好的外联沟通能力，能够处理突发事件；熟练掌握常用办公软件；</w:t>
            </w:r>
          </w:p>
          <w:p w14:paraId="70DAB5EF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（5）为人踏实敬业，做事严谨细致，具有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较好的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公文写作能力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学习能力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、调查分析能力及逻辑思维能力。</w:t>
            </w:r>
          </w:p>
          <w:p w14:paraId="1C29B561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4.综合素质：具有一定的人际沟通、组织协调、抗压能力以及高度的责任心和团队协作精神；</w:t>
            </w:r>
          </w:p>
          <w:p w14:paraId="640412BF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5.年龄：40周岁及以下。</w:t>
            </w:r>
          </w:p>
          <w:p w14:paraId="607E833C">
            <w:pPr>
              <w:pStyle w:val="6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6.个人履历或工作业绩等方面较为优秀的，可适当放宽任职资格条件。</w:t>
            </w:r>
          </w:p>
        </w:tc>
      </w:tr>
    </w:tbl>
    <w:p w14:paraId="79FFB43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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20CA4"/>
    <w:rsid w:val="4852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="Times New Roman" w:hAnsi="Times New Roman" w:eastAsia="仿宋_GB2312" w:cs="Times New Roman"/>
      <w:sz w:val="32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qFormat/>
    <w:uiPriority w:val="39"/>
    <w:rPr>
      <w:rFonts w:ascii="Arial Unicode MS" w:hAnsi="Arial Unicode MS" w:eastAsia="仿宋_GB2312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2025-09-23T01:41:00Z</dcterms:created>
  <dc:creator>李昭妍</dc:creator>
  <cp:lastModifiedBy>李昭妍</cp:lastModifiedBy>
  <dcterms:modified xsi:type="dcterms:W3CDTF">2025-09-23T01:41:40Z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99740F1DE8C546A888E548B7D9277E08_11</vt:lpwstr>
  </property>
  <property fmtid="{D5CDD505-2E9C-101B-9397-08002B2CF9AE}" pid="4" name="KSOTemplateDocerSaveRecord">
    <vt:lpwstr>eyJoZGlkIjoiODZhOTJmMzgyMjg2OGM2Y2RhYWQwMWIyYTIzMjkzNDIiLCJ1c2VySWQiOiIxNjk0MDYzOTM0In0=</vt:lpwstr>
  </property>
</Properties>
</file>